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r w:rsidRPr="00A64097">
        <w:rPr>
          <w:rFonts w:asciiTheme="majorHAnsi" w:hAnsiTheme="majorHAnsi" w:cstheme="majorHAnsi"/>
          <w:sz w:val="16"/>
          <w:szCs w:val="16"/>
          <w:lang w:eastAsia="zh-CN"/>
        </w:rPr>
        <w:t>xxxx.xxxx.xxxx.xxxx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765B18B7" w:rsidR="00EB1686" w:rsidRPr="00A64097" w:rsidRDefault="00EB1686" w:rsidP="00EB1686">
      <w:pPr>
        <w:spacing w:after="0"/>
        <w:ind w:left="540" w:right="720"/>
        <w:jc w:val="both"/>
        <w:rPr>
          <w:sz w:val="20"/>
          <w:szCs w:val="20"/>
        </w:rPr>
      </w:pPr>
      <w:r w:rsidRPr="00A64097">
        <w:rPr>
          <w:sz w:val="20"/>
          <w:szCs w:val="20"/>
        </w:rPr>
        <w:t xml:space="preserve">Antah </w:t>
      </w:r>
      <w:proofErr w:type="spellStart"/>
      <w:r w:rsidRPr="00A64097">
        <w:rPr>
          <w:sz w:val="20"/>
          <w:szCs w:val="20"/>
        </w:rPr>
        <w:t>Berantah</w:t>
      </w:r>
      <w:proofErr w:type="spellEnd"/>
      <w:r w:rsidRPr="00A64097">
        <w:rPr>
          <w:sz w:val="20"/>
          <w:szCs w:val="20"/>
        </w:rPr>
        <w:t xml:space="preserve"> Island, Community Migration, Online Education, </w:t>
      </w:r>
    </w:p>
    <w:p w14:paraId="174B195A" w14:textId="77777777" w:rsidR="00EB1686" w:rsidRPr="00A64097" w:rsidRDefault="00EB1686" w:rsidP="00EB1686">
      <w:pPr>
        <w:spacing w:after="0"/>
        <w:ind w:left="540" w:right="720"/>
        <w:jc w:val="both"/>
        <w:rPr>
          <w:sz w:val="20"/>
          <w:szCs w:val="20"/>
        </w:rPr>
      </w:pPr>
    </w:p>
    <w:p w14:paraId="5C2533AF" w14:textId="77777777" w:rsidR="002350F6" w:rsidRPr="00A64097" w:rsidRDefault="002350F6" w:rsidP="002350F6">
      <w:pPr>
        <w:jc w:val="both"/>
      </w:pPr>
      <w:r w:rsidRPr="00A64097">
        <w:rPr>
          <w:b/>
          <w:bCs/>
          <w:color w:val="FF0000"/>
        </w:rPr>
        <w:t>(remove</w:t>
      </w:r>
      <w:r>
        <w:rPr>
          <w:b/>
          <w:bCs/>
          <w:color w:val="FF0000"/>
        </w:rPr>
        <w:t xml:space="preserve"> this part</w:t>
      </w:r>
      <w:r w:rsidRPr="00A64097">
        <w:rPr>
          <w:b/>
          <w:bCs/>
          <w:color w:val="FF0000"/>
        </w:rPr>
        <w:t>)</w:t>
      </w:r>
      <w:r>
        <w:rPr>
          <w:b/>
          <w:bCs/>
          <w:color w:val="FF0000"/>
        </w:rPr>
        <w:t xml:space="preserve"> </w:t>
      </w:r>
      <w:r w:rsidRPr="00A64097">
        <w:rPr>
          <w:b/>
          <w:bCs/>
          <w:color w:val="FF0000"/>
        </w:rPr>
        <w:t>======== Write Clearly and Concisely</w:t>
      </w:r>
      <w:r w:rsidRPr="00A64097">
        <w:t xml:space="preserve">: A good abstract is short but impactful. Each sentence should clearly communicate one main point. Avoid passive sentences, long sentences, obscure jargon, repetition, and filler words. The abstract should be understandable to readers who are not familiar with your topic. Please make sure </w:t>
      </w:r>
      <w:r>
        <w:t xml:space="preserve">the </w:t>
      </w:r>
      <w:r w:rsidRPr="00A64097">
        <w:t xml:space="preserve">abstract </w:t>
      </w:r>
      <w:r w:rsidRPr="00A64097">
        <w:rPr>
          <w:color w:val="FF0000"/>
        </w:rPr>
        <w:t>not exceeding 250 words</w:t>
      </w:r>
      <w:r w:rsidRPr="00A64097">
        <w:t xml:space="preserve">. The abstract in all UMAM journals implements structured abstract, as shown in the abstract example above. Never remove the headings: Purpose, Methods, Results and Conclusions. </w:t>
      </w:r>
      <w:r w:rsidRPr="00A64097">
        <w:rPr>
          <w:b/>
          <w:bCs/>
          <w:color w:val="FF0000"/>
        </w:rPr>
        <w:t>=====</w:t>
      </w:r>
      <w:r>
        <w:rPr>
          <w:b/>
          <w:bCs/>
          <w:color w:val="FF0000"/>
        </w:rPr>
        <w:t xml:space="preserve"> </w:t>
      </w:r>
      <w:r w:rsidRPr="00A64097">
        <w:rPr>
          <w:b/>
          <w:bCs/>
          <w:color w:val="FF0000"/>
        </w:rPr>
        <w:t>(remove</w:t>
      </w:r>
      <w:r>
        <w:rPr>
          <w:b/>
          <w:bCs/>
          <w:color w:val="FF0000"/>
        </w:rPr>
        <w:t xml:space="preserve"> this part</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29E4ACDD" w:rsidR="00690562" w:rsidRPr="00A64097" w:rsidRDefault="002350F6" w:rsidP="00C10019">
      <w:pPr>
        <w:pStyle w:val="Els-body-text"/>
        <w:spacing w:line="240" w:lineRule="auto"/>
        <w:ind w:right="-28" w:firstLine="0"/>
        <w:rPr>
          <w:rFonts w:ascii="Book Antiqua" w:hAnsi="Book Antiqua"/>
          <w:b/>
          <w:sz w:val="24"/>
          <w:szCs w:val="24"/>
        </w:rPr>
      </w:pPr>
      <w:r w:rsidRPr="00A64097">
        <w:rPr>
          <w:rFonts w:ascii="Book Antiqua" w:hAnsi="Book Antiqua"/>
          <w:b/>
          <w:sz w:val="24"/>
          <w:szCs w:val="24"/>
        </w:rPr>
        <w:t>References</w:t>
      </w:r>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 xml:space="preserve">teamwork in rural area in Antah </w:t>
      </w:r>
      <w:proofErr w:type="spellStart"/>
      <w:r w:rsidR="00024B14" w:rsidRPr="00A64097">
        <w:rPr>
          <w:rFonts w:ascii="Book Antiqua" w:hAnsi="Book Antiqua" w:cs="Arial"/>
        </w:rPr>
        <w:t>Berantah</w:t>
      </w:r>
      <w:proofErr w:type="spellEnd"/>
      <w:r w:rsidR="00024B14" w:rsidRPr="00A64097">
        <w:rPr>
          <w:rFonts w:ascii="Book Antiqua" w:hAnsi="Book Antiqua" w:cs="Arial"/>
        </w:rPr>
        <w:t xml:space="preserve">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54533864" w14:textId="77777777" w:rsidR="002350F6" w:rsidRDefault="002350F6" w:rsidP="00FF523F">
      <w:pPr>
        <w:pStyle w:val="NormalWeb"/>
        <w:spacing w:before="0" w:beforeAutospacing="0" w:after="120" w:afterAutospacing="0"/>
        <w:ind w:left="360" w:right="202" w:hanging="360"/>
        <w:jc w:val="both"/>
        <w:rPr>
          <w:rFonts w:ascii="Book Antiqua" w:hAnsi="Book Antiqua" w:cs="Arial"/>
        </w:rPr>
      </w:pPr>
    </w:p>
    <w:p w14:paraId="53CBA07D" w14:textId="77777777" w:rsidR="002350F6" w:rsidRPr="00C73D39" w:rsidRDefault="002350F6" w:rsidP="002350F6">
      <w:pPr>
        <w:pStyle w:val="MDPI63notes"/>
        <w:ind w:left="900" w:right="1080"/>
      </w:pPr>
      <w:r w:rsidRPr="008070A9">
        <w:rPr>
          <w:b/>
        </w:rPr>
        <w:t>Disclaimer/Publisher’s Note:</w:t>
      </w:r>
      <w:r w:rsidRPr="008070A9">
        <w:t xml:space="preserve"> The statements, opinions and data contained in all publications are solely those of the individual author(s) and contributor(s) and not of </w:t>
      </w:r>
      <w:r>
        <w:t>UMAM Publisher</w:t>
      </w:r>
      <w:r w:rsidRPr="008070A9">
        <w:t xml:space="preserve"> and/or the editor(s). </w:t>
      </w:r>
      <w:r>
        <w:t>UMAM Publisher</w:t>
      </w:r>
      <w:r w:rsidRPr="008070A9">
        <w:t xml:space="preserve"> and/or the editor(s) disclaim responsibility for any injury to people or property resulting from any ideas, methods, instructions or products referred to in the content.</w:t>
      </w:r>
    </w:p>
    <w:p w14:paraId="023309DA" w14:textId="77777777" w:rsidR="002350F6" w:rsidRDefault="002350F6" w:rsidP="00FF523F">
      <w:pPr>
        <w:pStyle w:val="NormalWeb"/>
        <w:spacing w:before="0" w:beforeAutospacing="0" w:after="120" w:afterAutospacing="0"/>
        <w:ind w:left="360" w:right="202" w:hanging="360"/>
        <w:jc w:val="both"/>
        <w:rPr>
          <w:rFonts w:ascii="Book Antiqua" w:hAnsi="Book Antiqua" w:cs="Arial"/>
        </w:rPr>
      </w:pP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FF523F">
      <w:headerReference w:type="default" r:id="rId9"/>
      <w:footerReference w:type="default" r:id="rId10"/>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182C" w14:textId="77777777" w:rsidR="00535B99" w:rsidRPr="00A64097" w:rsidRDefault="00535B99" w:rsidP="00543FCC">
      <w:pPr>
        <w:spacing w:after="0" w:line="240" w:lineRule="auto"/>
      </w:pPr>
      <w:r w:rsidRPr="00A64097">
        <w:separator/>
      </w:r>
    </w:p>
  </w:endnote>
  <w:endnote w:type="continuationSeparator" w:id="0">
    <w:p w14:paraId="2C8DF1F2" w14:textId="77777777" w:rsidR="00535B99" w:rsidRPr="00A64097" w:rsidRDefault="00535B99"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 xml:space="preserve">ISSN </w:t>
    </w:r>
    <w:proofErr w:type="spellStart"/>
    <w:r w:rsidR="004B5856">
      <w:t>xxxx</w:t>
    </w:r>
    <w:proofErr w:type="spellEnd"/>
    <w:r w:rsidR="004B5856">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06C1D" w14:textId="77777777" w:rsidR="00535B99" w:rsidRPr="00A64097" w:rsidRDefault="00535B99" w:rsidP="00543FCC">
      <w:pPr>
        <w:spacing w:after="0" w:line="240" w:lineRule="auto"/>
      </w:pPr>
      <w:r w:rsidRPr="00A64097">
        <w:separator/>
      </w:r>
    </w:p>
  </w:footnote>
  <w:footnote w:type="continuationSeparator" w:id="0">
    <w:p w14:paraId="4ECF7323" w14:textId="77777777" w:rsidR="00535B99" w:rsidRPr="00A64097" w:rsidRDefault="00535B99"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00A9A078" w:rsidR="00E174E7" w:rsidRPr="00E174E7" w:rsidRDefault="00E174E7" w:rsidP="00E174E7">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 xml:space="preserve">ternational Journal of Sustainable Community Services and Development,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r>
                            <w:rPr>
                              <w:rFonts w:ascii="Book Antiqua" w:hAnsi="Book Antiqua"/>
                              <w:sz w:val="16"/>
                              <w:szCs w:val="16"/>
                            </w:rPr>
                            <w:t>No.xx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00A9A078" w:rsidR="00E174E7" w:rsidRPr="00E174E7" w:rsidRDefault="00E174E7" w:rsidP="00E174E7">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 xml:space="preserve">ternational Journal of Sustainable Community Services and Development,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r>
                      <w:rPr>
                        <w:rFonts w:ascii="Book Antiqua" w:hAnsi="Book Antiqua"/>
                        <w:sz w:val="16"/>
                        <w:szCs w:val="16"/>
                      </w:rPr>
                      <w:t>No.xx</w:t>
                    </w:r>
                    <w:proofErr w:type="spellEnd"/>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96278"/>
    <w:rsid w:val="000D170E"/>
    <w:rsid w:val="000F4405"/>
    <w:rsid w:val="00116C2E"/>
    <w:rsid w:val="00117AC9"/>
    <w:rsid w:val="00132C24"/>
    <w:rsid w:val="0014104C"/>
    <w:rsid w:val="00154AB1"/>
    <w:rsid w:val="00201C2A"/>
    <w:rsid w:val="002079E9"/>
    <w:rsid w:val="00224967"/>
    <w:rsid w:val="002350F6"/>
    <w:rsid w:val="002357FA"/>
    <w:rsid w:val="00297279"/>
    <w:rsid w:val="003B03C2"/>
    <w:rsid w:val="003C728B"/>
    <w:rsid w:val="003E6106"/>
    <w:rsid w:val="00420F9F"/>
    <w:rsid w:val="00426946"/>
    <w:rsid w:val="00443E52"/>
    <w:rsid w:val="00460ADB"/>
    <w:rsid w:val="00470060"/>
    <w:rsid w:val="00484DFE"/>
    <w:rsid w:val="004B5856"/>
    <w:rsid w:val="004E0363"/>
    <w:rsid w:val="004F242C"/>
    <w:rsid w:val="00500E7B"/>
    <w:rsid w:val="00535B99"/>
    <w:rsid w:val="00535F34"/>
    <w:rsid w:val="00543FCC"/>
    <w:rsid w:val="005709D7"/>
    <w:rsid w:val="005977B7"/>
    <w:rsid w:val="00616C09"/>
    <w:rsid w:val="00690562"/>
    <w:rsid w:val="006B027C"/>
    <w:rsid w:val="006F0812"/>
    <w:rsid w:val="006F17F4"/>
    <w:rsid w:val="007035B4"/>
    <w:rsid w:val="007373A9"/>
    <w:rsid w:val="00740820"/>
    <w:rsid w:val="00784668"/>
    <w:rsid w:val="00787629"/>
    <w:rsid w:val="007929C8"/>
    <w:rsid w:val="007A0735"/>
    <w:rsid w:val="007F03FB"/>
    <w:rsid w:val="007F1233"/>
    <w:rsid w:val="00856103"/>
    <w:rsid w:val="00876571"/>
    <w:rsid w:val="008A2037"/>
    <w:rsid w:val="008B6F27"/>
    <w:rsid w:val="00992C41"/>
    <w:rsid w:val="009E2D68"/>
    <w:rsid w:val="00A112CB"/>
    <w:rsid w:val="00A40585"/>
    <w:rsid w:val="00A64097"/>
    <w:rsid w:val="00AE12FF"/>
    <w:rsid w:val="00B35620"/>
    <w:rsid w:val="00B62893"/>
    <w:rsid w:val="00B87AA5"/>
    <w:rsid w:val="00B932BB"/>
    <w:rsid w:val="00BB10B6"/>
    <w:rsid w:val="00C10019"/>
    <w:rsid w:val="00C12A2A"/>
    <w:rsid w:val="00C14129"/>
    <w:rsid w:val="00D454E0"/>
    <w:rsid w:val="00DB1BA7"/>
    <w:rsid w:val="00DF5301"/>
    <w:rsid w:val="00E174E7"/>
    <w:rsid w:val="00EB1686"/>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 w:type="paragraph" w:customStyle="1" w:styleId="MDPI63notes">
    <w:name w:val="MDPI_6.3_notes"/>
    <w:qFormat/>
    <w:rsid w:val="002350F6"/>
    <w:pPr>
      <w:adjustRightInd w:val="0"/>
      <w:snapToGrid w:val="0"/>
      <w:spacing w:before="240" w:after="0" w:line="280" w:lineRule="atLeast"/>
      <w:jc w:val="both"/>
    </w:pPr>
    <w:rPr>
      <w:rFonts w:ascii="Palatino Linotype" w:eastAsia="SimSun" w:hAnsi="Palatino Linotype" w:cs="Times New Roman"/>
      <w:snapToGrid w:val="0"/>
      <w:color w:val="000000" w:themeColor="text1"/>
      <w:sz w:val="1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2025-01-08T23:22:00Z</dcterms:created>
  <dcterms:modified xsi:type="dcterms:W3CDTF">2025-01-08T23:23:00Z</dcterms:modified>
</cp:coreProperties>
</file>